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3C" w:rsidRDefault="00184BDA">
      <w:pPr>
        <w:pStyle w:val="ab"/>
        <w:keepLines/>
        <w:widowControl w:val="0"/>
        <w:ind w:firstLine="907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</w:p>
    <w:p w:rsidR="006E6E3C" w:rsidRDefault="00184BDA">
      <w:pPr>
        <w:pStyle w:val="ab"/>
        <w:ind w:firstLine="907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главы городского округа</w:t>
      </w:r>
    </w:p>
    <w:p w:rsidR="006E6E3C" w:rsidRDefault="00184BDA">
      <w:pPr>
        <w:pStyle w:val="ab"/>
        <w:ind w:firstLine="907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ЗАТО Свободный</w:t>
      </w:r>
    </w:p>
    <w:p w:rsidR="006E6E3C" w:rsidRDefault="00184BDA">
      <w:pPr>
        <w:pStyle w:val="ab"/>
        <w:ind w:firstLine="907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</w:t>
      </w:r>
      <w:r>
        <w:rPr>
          <w:rFonts w:ascii="Liberation Serif" w:hAnsi="Liberation Serif"/>
          <w:sz w:val="24"/>
          <w:szCs w:val="24"/>
        </w:rPr>
        <w:t>18</w:t>
      </w:r>
      <w:r>
        <w:rPr>
          <w:rFonts w:ascii="Liberation Serif" w:hAnsi="Liberation Serif"/>
          <w:sz w:val="24"/>
          <w:szCs w:val="24"/>
        </w:rPr>
        <w:t>_» апреля 2022 года № _</w:t>
      </w:r>
      <w:r>
        <w:rPr>
          <w:rFonts w:ascii="Liberation Serif" w:hAnsi="Liberation Serif"/>
          <w:sz w:val="24"/>
          <w:szCs w:val="24"/>
        </w:rPr>
        <w:t>11</w:t>
      </w:r>
    </w:p>
    <w:p w:rsidR="006E6E3C" w:rsidRDefault="006E6E3C">
      <w:pPr>
        <w:pStyle w:val="ab"/>
        <w:rPr>
          <w:rFonts w:ascii="Liberation Serif" w:hAnsi="Liberation Serif"/>
        </w:rPr>
      </w:pPr>
    </w:p>
    <w:p w:rsidR="006E6E3C" w:rsidRDefault="006E6E3C">
      <w:pPr>
        <w:pStyle w:val="ab"/>
        <w:rPr>
          <w:rFonts w:ascii="Liberation Serif" w:hAnsi="Liberation Serif"/>
        </w:rPr>
      </w:pPr>
    </w:p>
    <w:p w:rsidR="006E6E3C" w:rsidRDefault="00184BDA">
      <w:pPr>
        <w:pStyle w:val="ab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План мероприятий по противодействию коррупции </w:t>
      </w:r>
    </w:p>
    <w:p w:rsidR="006E6E3C" w:rsidRDefault="00184BDA">
      <w:pPr>
        <w:pStyle w:val="ab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в городском </w:t>
      </w:r>
      <w:proofErr w:type="gramStart"/>
      <w:r>
        <w:rPr>
          <w:rFonts w:ascii="Liberation Serif" w:hAnsi="Liberation Serif"/>
          <w:b/>
          <w:bCs/>
        </w:rPr>
        <w:t>округе</w:t>
      </w:r>
      <w:proofErr w:type="gramEnd"/>
      <w:r>
        <w:rPr>
          <w:rFonts w:ascii="Liberation Serif" w:hAnsi="Liberation Serif"/>
          <w:b/>
          <w:bCs/>
        </w:rPr>
        <w:t xml:space="preserve"> ЗАТО Свободный на 2021-2024 годы</w:t>
      </w:r>
    </w:p>
    <w:p w:rsidR="006E6E3C" w:rsidRDefault="006E6E3C">
      <w:pPr>
        <w:pStyle w:val="ab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5027" w:type="dxa"/>
        <w:tblInd w:w="-324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6809"/>
        <w:gridCol w:w="563"/>
        <w:gridCol w:w="3404"/>
        <w:gridCol w:w="282"/>
        <w:gridCol w:w="143"/>
        <w:gridCol w:w="2978"/>
      </w:tblGrid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Срок выполнения</w:t>
            </w:r>
          </w:p>
        </w:tc>
      </w:tr>
      <w:tr w:rsidR="006E6E3C">
        <w:trPr>
          <w:trHeight w:val="41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0" w:name="Par55"/>
            <w:bookmarkEnd w:id="0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Анализ нормативных правовых актов органов местного самоуправления городского округа ЗАТО Свободный о противодействии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мере изменения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законодательства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" w:name="Par80"/>
            <w:bookmarkEnd w:id="1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2. Повышение результативности антикоррупционной экспертизы нормативных правовых актов органов местного самоуправления городского округа ЗАТО Свободный и проектов нормативных правовых актов органов местного самоуправления городского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округа ЗАТО Свободный</w:t>
            </w:r>
          </w:p>
        </w:tc>
      </w:tr>
      <w:tr w:rsidR="006E6E3C">
        <w:trPr>
          <w:trHeight w:val="178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 результатов проведение антикоррупционной экспертизы проектов нормативных правовых актов и проектов нормативных правовых актов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Контрольный орган городского округа; Администрация городского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rPr>
          <w:trHeight w:val="17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Обобщение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онтрольный орган городского округа; Администрация городского 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декабря</w:t>
            </w:r>
          </w:p>
        </w:tc>
      </w:tr>
      <w:tr w:rsidR="006E6E3C">
        <w:trPr>
          <w:trHeight w:val="68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2" w:name="Par123"/>
            <w:bookmarkEnd w:id="2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3. Совершенствование работы подразделений кадровых служб</w:t>
            </w:r>
          </w:p>
        </w:tc>
      </w:tr>
      <w:tr w:rsidR="006E6E3C">
        <w:trPr>
          <w:trHeight w:val="232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представления сведений о доходах, расходах, об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рии городского округа ЗАТО Свободный, обеспечение контроля своевременности представления указанных сведений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отдел, 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01 апреля;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30 апреля</w:t>
            </w:r>
          </w:p>
        </w:tc>
      </w:tr>
      <w:tr w:rsidR="006E6E3C">
        <w:trPr>
          <w:trHeight w:val="223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</w:t>
            </w:r>
          </w:p>
        </w:tc>
      </w:tr>
      <w:tr w:rsidR="006E6E3C">
        <w:trPr>
          <w:trHeight w:val="120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мониторинга соблюдения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городского округа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полугодие: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июля;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янва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ря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перечня должностей, замещение которых налагает обязанность представлять сведения о доходах, расходах, об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имуществе и обязательствах имущественного характера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Контрольный орган городского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округа; Администрация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один раз в год до 20 ноября</w:t>
            </w:r>
          </w:p>
        </w:tc>
      </w:tr>
      <w:tr w:rsidR="006E6E3C">
        <w:trPr>
          <w:trHeight w:val="98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мониторинга деятельности комиссии по соблюдению требований к служебному поведению и урегулированию конфликтов интересов в органах местного самоуправления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</w:t>
            </w:r>
          </w:p>
        </w:tc>
      </w:tr>
      <w:tr w:rsidR="006E6E3C">
        <w:trPr>
          <w:trHeight w:val="12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разъяснительной работы с муниципальными служащими, по положениям законодательства Российской Федерации о противодействии коррупции,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предупреждению преступлений против государственной власти, интересов муниципальной службы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01 марта</w:t>
            </w:r>
          </w:p>
        </w:tc>
      </w:tr>
      <w:tr w:rsidR="006E6E3C">
        <w:trPr>
          <w:trHeight w:val="12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разъяснительной работы с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учреждений и предприятий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01 марта</w:t>
            </w:r>
          </w:p>
        </w:tc>
      </w:tr>
      <w:tr w:rsidR="006E6E3C">
        <w:trPr>
          <w:trHeight w:val="794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3" w:name="Par216"/>
            <w:bookmarkStart w:id="4" w:name="Par191"/>
            <w:bookmarkEnd w:id="3"/>
            <w:bookmarkEnd w:id="4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4.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реализации мер по совершенствованию учета муниципального имущества городского округа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округа (Отдел бухгалтерского учета и финансов; Отдел городского хозяйства)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проверок использования муниципального имущества, подготовка информационно-аналитической справки о 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Осуществление контроля соблюдения установленного порядка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управления и распоряжения имуществом, находящимся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муниципальной собственности имущества городского округа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следующего за отчетным периодом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5" w:name="Par237"/>
            <w:bookmarkEnd w:id="5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Раздел 5. Противодействие коррупции в бюджетной сфере</w:t>
            </w:r>
          </w:p>
        </w:tc>
      </w:tr>
      <w:tr w:rsidR="006E6E3C">
        <w:trPr>
          <w:trHeight w:val="11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контрольных мероприятий в финансово-бюджетной сфере, подготовка информационно-аналитической справки о результатах контрольных и экспертно-аналитических 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Финансовый отдел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Верхнесалдинскую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городскую прокуратуру информации о результатах контрольных мероприятий в финансово-бюджетной сфере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Финансовый отдел администрации городского 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 в части бюджетных полномочий главного распорядителя бюджетных средств; использования бюджетных средств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(Отдел бухгалтерского учета и финансов)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ледующего за отчетным периодом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6" w:name="Par268"/>
            <w:bookmarkEnd w:id="6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6. Совершенствование условий, процедур и механизмов муниципальных закупок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Финансовый отдел администрации городского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 за исполнением федерального законодательства о размещении заказов на постановку товаров, выполнении работ, оказании услуг для муниципальных нужд.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администрации; директор Муниципального казенного учреждения «Служба муниципального заказа»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полугодие: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июля;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января</w:t>
            </w:r>
          </w:p>
        </w:tc>
      </w:tr>
      <w:tr w:rsidR="006E6E3C">
        <w:trPr>
          <w:trHeight w:val="1419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7" w:name="Par293"/>
            <w:bookmarkEnd w:id="7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Раздел 7. Внедрение в деятельность органов местного самоуправления городского округа ЗАТО Свободный антикоррупционных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механизмов,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изациями в рамках оказания муниципальных (государственных) услуг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официальных сайтах органов местного самоуправления городского округа ЗАТО Свободный в сети Интернет проектов нормативных правовых актов органов местного самоуправления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разработки проектов нормати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вных правовых актов</w:t>
            </w:r>
          </w:p>
        </w:tc>
      </w:tr>
      <w:tr w:rsidR="006E6E3C">
        <w:trPr>
          <w:trHeight w:val="7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Разработка и 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Специалисты администрации городского округа, оказывающие муниципальные услуги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</w:tr>
      <w:tr w:rsidR="006E6E3C">
        <w:trPr>
          <w:trHeight w:val="946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8" w:name="Par302"/>
            <w:bookmarkEnd w:id="8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Раздел 8. Устранение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необоснованных запретов и ограничений в области экономической деятельности, повышение доступности и качества предоставления муниципальных услуг</w:t>
            </w:r>
          </w:p>
        </w:tc>
      </w:tr>
      <w:tr w:rsidR="006E6E3C">
        <w:trPr>
          <w:trHeight w:val="36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качества предоставления государственных и муниципальных услуг на территории городского округа, 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дготовка предложений по повышению качества их предоставления.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(ведущий специалист по экономики подразделения социально-экономического развития)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rPr>
          <w:trHeight w:val="85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9" w:name="Par339"/>
            <w:bookmarkEnd w:id="9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Раздел 9.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Повышение результативности и эффективности работы с обращениями граждан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и организаций по фактам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обращений граждан и организаций о фактах коррупции или коррупционных проявлений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Контрольный орган городского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округа; Администрация городского округа (Финансовый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отдел; 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еданных на рассмотрение в органы внутренних дел и органы прокуратуры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0" w:name="Par370"/>
            <w:bookmarkEnd w:id="10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10. Обеспечение открытости деятельности органов местного самоуправления,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обеспечение права граждан на доступ к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информации о деятельности органов местного самоуправления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 сфере противодействия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о работе комиссии по противодействию коррупции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Организационно-кадровый отдел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проведения заседаний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проведения заседаний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официальных сайтах органов местного самоуправления городского округа ЗАТО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Свободный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руководителями муниципальных учреждений в соответствии с требованиями зако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нодательства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квартал ежегодно,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14 рабочих дней с даты окончания срока для их пре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дставления</w:t>
            </w:r>
          </w:p>
        </w:tc>
      </w:tr>
      <w:tr w:rsidR="006E6E3C">
        <w:trPr>
          <w:trHeight w:val="829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1" w:name="Par429"/>
            <w:bookmarkEnd w:id="11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11. Формирование в обществе нетерпимости к коррупционному поведению, правовое просвещение населения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 сфере противодействия коррупции</w:t>
            </w:r>
          </w:p>
        </w:tc>
      </w:tr>
      <w:tr w:rsidR="006E6E3C">
        <w:trPr>
          <w:trHeight w:val="113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мероприятий, конкурса на лучшую работу по теме, посвященной противодействию коррупции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среди обучающихся к Международному дню борьбы с коррупцией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образования, молодежной политики, культуры и спорта администрации городского округа; </w:t>
            </w:r>
            <w:r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10 декабря</w:t>
            </w:r>
          </w:p>
        </w:tc>
      </w:tr>
      <w:tr w:rsidR="006E6E3C">
        <w:trPr>
          <w:trHeight w:val="113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(видеоролик, акция и т.д.) посвященных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противодействию коррупции к Международному дню борьбы с коррупцией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образования, молодежной политики, культуры и спорта администрации городского округа; </w:t>
            </w:r>
            <w:r>
              <w:rPr>
                <w:rFonts w:ascii="Liberation Serif" w:hAnsi="Liberation Serif" w:cs="Liberation Serif"/>
              </w:rPr>
              <w:t>МБУК ДК «Свободный»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10 декабря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ConsPlusNormal"/>
              <w:keepLines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результатов работы 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принятии мер по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предупреждению коррупции в муниципальных организациях городского округа, в соответствии со ст.13.3 Федерального закона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№ 273-ФЗ от 25.12.2008 «О противодействии коррупции» (Отчет руководителей муниципальных организаций)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организац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ий, расположенных на территории городского 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2" w:name="Par478"/>
            <w:bookmarkStart w:id="13" w:name="Par526"/>
            <w:bookmarkEnd w:id="12"/>
            <w:bookmarkEnd w:id="13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Раздел 12. Мониторинг состояния и эффективности противодействия коррупции в городском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округе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ЗАТО Свободный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(антикоррупционный мониторинг)</w:t>
            </w:r>
          </w:p>
        </w:tc>
      </w:tr>
      <w:tr w:rsidR="006E6E3C">
        <w:trPr>
          <w:trHeight w:val="174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состояния и эффективности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противодействия коррупции в муниципальных организациях расположенных на территории городского округа, анализ результатов мониторинга (обращения граждан и организаций о фактах коррупции или коррупционных проявлений в муниципальных организациях; переданных 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 рассмотрение в органы внутренних дел и органы прокуратуры)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 анализа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взятки, либо как согласие принять взятку или как просьба о даче взятки, изложенных в </w:t>
            </w:r>
            <w:hyperlink r:id="rId7">
              <w:r>
                <w:rPr>
                  <w:rFonts w:ascii="Liberation Serif" w:hAnsi="Liberation Serif" w:cs="Liberation Serif"/>
                  <w:sz w:val="24"/>
                  <w:szCs w:val="24"/>
                </w:rPr>
                <w:t>Письме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Министерства труда и социальной защиты Российской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Федерации от 10.07.2013 №18-2/10/2-3836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25 декабря</w:t>
            </w:r>
          </w:p>
        </w:tc>
      </w:tr>
      <w:tr w:rsidR="006E6E3C">
        <w:trPr>
          <w:trHeight w:val="788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4" w:name="Par565"/>
            <w:bookmarkStart w:id="15" w:name="Par578"/>
            <w:bookmarkStart w:id="16" w:name="Par603"/>
            <w:bookmarkStart w:id="17" w:name="Par630"/>
            <w:bookmarkEnd w:id="14"/>
            <w:bookmarkEnd w:id="15"/>
            <w:bookmarkEnd w:id="16"/>
            <w:bookmarkEnd w:id="17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Раздел 13. Повышение эффективности деятельности органов местного самоуправления городского округа ЗАТО Свободный по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противодействию коррупции</w:t>
            </w:r>
          </w:p>
        </w:tc>
      </w:tr>
      <w:tr w:rsidR="006E6E3C">
        <w:trPr>
          <w:trHeight w:val="14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ConsPlusNormal"/>
              <w:keepLine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отчета о выполнении Плана мероприятий по противодействию коррупции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городском округе ЗАТО Свободный</w:t>
            </w:r>
            <w:r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2021–2024 годы на комиссии по координации работы по противодействию коррупции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(Заместители главы администрации)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ConsPlusNormal"/>
              <w:keepLine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в разделе, посвященном вопросам противодействия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коррупции, официального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сайта администрации городского округа ЗАТО Свободный</w:t>
            </w:r>
            <w:r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информационно-телекоммуникационной сети «Интернет» отчета о результатах выполнения Плана мероприятий по противодействию коррупции на 2021–2024 годы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Контрольный орган городског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округа; Администрация городского округа (Структурные подразделения)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до 1 февраля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 отчетным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официальных сайтах органов местного самоуправления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ЗАТО Свободный</w:t>
            </w: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 июня отчетного года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до 1 декабря отчетного года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области: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а) о деятельности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городском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б) об исполнении муниципальными служащими, замещающими должности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органах местного самоуправления</w:t>
            </w:r>
            <w:r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йствующим законодательством о муниципальной службе;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в) о 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олжностных лицах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органов местного самоуправления городского округа ЗАТО Свободный,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ежеквартально, до 15 числа последнего месяца отчетного квартала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30 июня отчетного года и до 30 декабря отчетного 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30 июня отчетного года и до 30 декабря отчетного года</w:t>
            </w:r>
          </w:p>
        </w:tc>
      </w:tr>
      <w:tr w:rsidR="006E6E3C">
        <w:trPr>
          <w:trHeight w:val="586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Раздел 14. Мероприятия по противодействию коррупции в сфере ЖКХ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, регулирующих отношения в данных сферах, о состоянии муниципального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унитарного предприятия жилищно-коммунального хозяйства, расположенных на территории городского округа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ствляющими водоотведение, о состоянии расчетов потребителей с исполнителями коммунальных услуг (в соответствии с ч.2 ст.165 Жилищного кодекса РФ)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(Отдел городского хозяйства)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(отчет ежегодно,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20 января)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15. Исполнение мероприятий Национального плана противодействия коррупции на 2021–2024 годы, утвержденного Указом Президента Российской Федерации от 16 августа 2021 года № 478 «О Национальном плане противодействия коррупции</w:t>
            </w:r>
          </w:p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 2021–2024 годы»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Актуализац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ия информации, находящейся в личных делах лиц, замещающих должности муниципальной службы в органах местного самоуправления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(далее – муниципальные служащие)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ого округа (Финансовый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 года, следующего за отчетным годом направление в Департамент противодействия коррупции и контроля Свердловской области (далее – Департамент) сводной информации о результата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актуализации информации, находящейся в личных делах муниципальных служащих органов местного самоуправления муниципального образования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инфекции (2019-nCoV), а также на реализацию национальных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городского 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круга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(пункт 19 Национального плана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противодействия коррупции на 2021–2024 годы, утвержденного Указом Президента Российской Федерации от 16 августа 2021 года № 478 «О Национальном плане противодействия коррупции на 2021–2024 годы» (далее – Национальный пла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н)</w:t>
            </w: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western"/>
              <w:keepLines/>
              <w:widowControl w:val="0"/>
              <w:tabs>
                <w:tab w:val="left" w:pos="4272"/>
              </w:tabs>
              <w:spacing w:before="280" w:beforeAutospacing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городского</w:t>
            </w:r>
          </w:p>
          <w:p w:rsidR="006E6E3C" w:rsidRDefault="00184BDA">
            <w:pPr>
              <w:pStyle w:val="western"/>
              <w:keepLines/>
              <w:widowControl w:val="0"/>
              <w:tabs>
                <w:tab w:val="left" w:pos="4272"/>
              </w:tabs>
              <w:spacing w:before="280" w:beforeAutospacing="0" w:after="0"/>
              <w:jc w:val="center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округа (Финансовый отдел; Отдел бухгалтерского учета и финансов)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до 1 февраля года, следующего за отчетным годом, итоговый доклад – до 1 ноября 2024 года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сводной информации о принятых органами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муниципального образования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инфекции (2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019-nCoV), а также на реализацию национальных проектов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Департамента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органами местного самоуправления муниципального образования в соответствии с подпунктом 2 пункта 4-1 Указа Губернатора Свердловской области от 19.08.2016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№ 480-УГ «О еди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общественного обсуждения и проведения независимой антикоррупционной экспертизы» об изменении адр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есов официальных сайтов органа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рабочих дней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 дня изменения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адресов официальных сайтов органа местного самоуправления муниципального образования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сети Интернет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направление в Департамент информации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 изменении адресов официальных сайтов органа местного самоуправления муниципального об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разования в сети Интернет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 органов местного самоуправления городского округа, в должностные обязанности которых входит участие в противодей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ствии коррупции, включая их обучение по дополнительным профессиональным программам в сфере противодействия коррупции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 квартал отчетного года – до 25 апреля отчетного года;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II квартал отчетного года – 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III квартал отчетного года – 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отчетный 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од – до 20 января года, следующего за отчетным годом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в органах местного самоуправления муниципального образования  мероприятиях по профессиональному развитию в сфере противодействия коррупции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служащих, в должностные обязанности которых входит участие в противодействии коррупции, включая их обучение по дополнительным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профессиональным программам в сфере противодействия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профессиональному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развитию в сфере противодействия коррупции для лиц, впервые поступивших на муниципальную службу в органы местного самоуправления городского округа и замещающих должности, связанные с соблюдением антикоррупционных стандартов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«б» пункта 39 Национал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ьного плана)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 квартал отчетного года –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апреля отчетного года;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II квартал отчетного 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да –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июля отчетного года;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III квартал отчетного года –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15 октября отчетного года;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год – 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сводной информации о проведенных органами местного самоуправления мун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иципального образования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муниципального образования и замещающих должности, связанные с соблюд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ением антикоррупционных стандартов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местного самоуправления муниципального образования, в должностные обязанности которых входит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«в» пункта 39 Национального п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лана)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Контрольный орган городского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II квартал отчетного года – до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III квартал отчетного года – 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отчетный год –  до 20 января года, следующего за отчетным годом направление в Департамент сводной информации о проведенных органами местного самоуправления муниципаль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ного образования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пробелов и противоречий в правовом регулировании в сфере противодействия коррупции, а та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(пункт 49 Национального плана)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Контрольный орган городского округа; Администрация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(Подразделение правового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обеспечения)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ежегодно, до 1 октября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свода предложений органов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по систематизации и актуализации нормативно-правовой базы в сфере противодействия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Мониторинг хода реализации в органах местного самоуправления городского округа Национального плана и анализ его результатов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8" w:name="_GoBack"/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 квартал отчетного года – 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II квартал отчетного года – 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III квартал отчетного года – 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отчетным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годом направление в Департамент свода информации о ходе реализации в органах местного самоуправления муниципального образования Национального плана и его результатах</w:t>
            </w:r>
            <w:bookmarkEnd w:id="18"/>
          </w:p>
        </w:tc>
      </w:tr>
    </w:tbl>
    <w:p w:rsidR="006E6E3C" w:rsidRDefault="006E6E3C">
      <w:pPr>
        <w:sectPr w:rsidR="006E6E3C">
          <w:headerReference w:type="default" r:id="rId8"/>
          <w:pgSz w:w="16838" w:h="11906" w:orient="landscape"/>
          <w:pgMar w:top="1134" w:right="566" w:bottom="993" w:left="1418" w:header="850" w:footer="0" w:gutter="0"/>
          <w:cols w:space="720"/>
          <w:formProt w:val="0"/>
          <w:docGrid w:linePitch="299"/>
        </w:sectPr>
      </w:pPr>
    </w:p>
    <w:p w:rsidR="006E6E3C" w:rsidRDefault="00184BDA">
      <w:pPr>
        <w:widowControl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19" w:name="Par2208"/>
      <w:bookmarkEnd w:id="19"/>
      <w:r>
        <w:rPr>
          <w:rFonts w:ascii="Liberation Serif" w:hAnsi="Liberation Serif" w:cs="Times New Roman"/>
          <w:b/>
          <w:bCs/>
          <w:sz w:val="28"/>
          <w:szCs w:val="28"/>
        </w:rPr>
        <w:lastRenderedPageBreak/>
        <w:t>ПЕРЕЧЕНЬ</w:t>
      </w:r>
    </w:p>
    <w:p w:rsidR="006E6E3C" w:rsidRDefault="00184BD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целевых показателей реализации плана противодействия коррупции в городском </w:t>
      </w:r>
      <w:proofErr w:type="gramStart"/>
      <w:r>
        <w:rPr>
          <w:rFonts w:ascii="Liberation Serif" w:hAnsi="Liberation Serif" w:cs="Times New Roman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 </w:t>
      </w:r>
    </w:p>
    <w:p w:rsidR="006E6E3C" w:rsidRDefault="00184BD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на 2021-2024 годы</w:t>
      </w:r>
    </w:p>
    <w:p w:rsidR="006E6E3C" w:rsidRDefault="006E6E3C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</w:p>
    <w:tbl>
      <w:tblPr>
        <w:tblW w:w="13466" w:type="dxa"/>
        <w:tblInd w:w="528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4251"/>
        <w:gridCol w:w="1417"/>
        <w:gridCol w:w="1562"/>
        <w:gridCol w:w="1558"/>
        <w:gridCol w:w="1558"/>
        <w:gridCol w:w="1843"/>
      </w:tblGrid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Значение целевого показателя в 2021 году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целевого показателя в 2022 году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Значение целевого показателя в 2023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Значение целевого показателя в 2024 году</w:t>
            </w: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6E6E3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Снижение доли муниципальных служащих городского округа ЗАТО Свободный, допустивших нарушения требований антикоррупционного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законодательства, к общему числу муниципальных служащих городского округа ЗАТО Свободный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  <w:tr w:rsidR="006E6E3C">
        <w:trPr>
          <w:trHeight w:val="23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Увеличение доли граждан, имеющих доступ к получению государственных и муниципальных услуг по принципу «одного окна» по месту пребывания, в то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 числе в многофункциональных центрах предоставления государственных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Снижение доли обращений (сообщений) граждан о фактах коррупции или коррупционных проявлениях от общего количества поступивших обращений (сообщений) 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Количество актуализированных личных 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муниципальных служащих получивших дополнительное профессиональное образование в сфере противодействия коррупции, в должностные обязанности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которых входит участие в противодействии 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95</w:t>
            </w:r>
          </w:p>
        </w:tc>
      </w:tr>
    </w:tbl>
    <w:p w:rsidR="006E6E3C" w:rsidRDefault="006E6E3C">
      <w:pPr>
        <w:widowControl w:val="0"/>
        <w:spacing w:after="0" w:line="240" w:lineRule="auto"/>
        <w:jc w:val="both"/>
        <w:rPr>
          <w:rFonts w:ascii="Liberation Serif" w:hAnsi="Liberation Serif"/>
        </w:rPr>
      </w:pPr>
    </w:p>
    <w:sectPr w:rsidR="006E6E3C">
      <w:headerReference w:type="default" r:id="rId9"/>
      <w:pgSz w:w="16838" w:h="11906" w:orient="landscape"/>
      <w:pgMar w:top="1417" w:right="850" w:bottom="567" w:left="850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DA" w:rsidRDefault="00184BDA">
      <w:pPr>
        <w:spacing w:after="0" w:line="240" w:lineRule="auto"/>
      </w:pPr>
      <w:r>
        <w:separator/>
      </w:r>
    </w:p>
  </w:endnote>
  <w:endnote w:type="continuationSeparator" w:id="0">
    <w:p w:rsidR="00184BDA" w:rsidRDefault="0018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DA" w:rsidRDefault="00184BDA">
      <w:pPr>
        <w:spacing w:after="0" w:line="240" w:lineRule="auto"/>
      </w:pPr>
      <w:r>
        <w:separator/>
      </w:r>
    </w:p>
  </w:footnote>
  <w:footnote w:type="continuationSeparator" w:id="0">
    <w:p w:rsidR="00184BDA" w:rsidRDefault="0018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3C" w:rsidRDefault="006E6E3C">
    <w:pPr>
      <w:pStyle w:val="ab"/>
      <w:ind w:left="10261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3C" w:rsidRDefault="006E6E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3C"/>
    <w:rsid w:val="00184BDA"/>
    <w:rsid w:val="001E7880"/>
    <w:rsid w:val="006E6E3C"/>
    <w:rsid w:val="00C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3FF2"/>
  <w15:docId w15:val="{E3BC5ADF-D175-49F4-9D81-229023A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21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qFormat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E7DF8"/>
    <w:rPr>
      <w:b/>
      <w:bCs/>
    </w:rPr>
  </w:style>
  <w:style w:type="character" w:customStyle="1" w:styleId="a4">
    <w:name w:val="Основной текст Знак"/>
    <w:basedOn w:val="a0"/>
    <w:qFormat/>
    <w:rsid w:val="00D967CD"/>
    <w:rPr>
      <w:rFonts w:ascii="Times New Roman" w:eastAsia="Times New Roman" w:hAnsi="Times New Roman"/>
      <w:sz w:val="28"/>
    </w:rPr>
  </w:style>
  <w:style w:type="character" w:customStyle="1" w:styleId="a5">
    <w:name w:val="Основной текст_"/>
    <w:qFormat/>
    <w:rsid w:val="00D967CD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D967CD"/>
    <w:rPr>
      <w:rFonts w:ascii="Tahoma" w:hAnsi="Tahoma" w:cs="Tahoma"/>
      <w:sz w:val="16"/>
      <w:szCs w:val="16"/>
      <w:lang w:eastAsia="en-US"/>
    </w:rPr>
  </w:style>
  <w:style w:type="character" w:styleId="a7">
    <w:name w:val="page number"/>
    <w:basedOn w:val="a0"/>
    <w:qFormat/>
    <w:rsid w:val="00D967CD"/>
  </w:style>
  <w:style w:type="character" w:customStyle="1" w:styleId="a8">
    <w:name w:val="Верхний колонтитул Знак"/>
    <w:basedOn w:val="a0"/>
    <w:uiPriority w:val="99"/>
    <w:qFormat/>
    <w:rsid w:val="00D967CD"/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uiPriority w:val="99"/>
    <w:qFormat/>
    <w:rsid w:val="00D967CD"/>
    <w:rPr>
      <w:sz w:val="22"/>
      <w:szCs w:val="22"/>
      <w:lang w:eastAsia="en-US"/>
    </w:rPr>
  </w:style>
  <w:style w:type="character" w:customStyle="1" w:styleId="2">
    <w:name w:val="Основной текст (2)_"/>
    <w:link w:val="20"/>
    <w:qFormat/>
    <w:rsid w:val="00D967CD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-">
    <w:name w:val="Интернет-ссылка"/>
    <w:uiPriority w:val="99"/>
    <w:unhideWhenUsed/>
    <w:rsid w:val="00D967CD"/>
    <w:rPr>
      <w:color w:val="0000FF"/>
      <w:u w:val="single"/>
    </w:rPr>
  </w:style>
  <w:style w:type="character" w:customStyle="1" w:styleId="aa">
    <w:name w:val="Абзац списка Знак"/>
    <w:uiPriority w:val="34"/>
    <w:qFormat/>
    <w:locked/>
    <w:rsid w:val="00D967CD"/>
    <w:rPr>
      <w:sz w:val="22"/>
      <w:szCs w:val="22"/>
      <w:lang w:eastAsia="en-US"/>
    </w:rPr>
  </w:style>
  <w:style w:type="character" w:customStyle="1" w:styleId="21">
    <w:name w:val="Основной текст2"/>
    <w:qFormat/>
    <w:rsid w:val="00D967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  <w:shd w:val="clear" w:color="auto" w:fill="FFFFFF"/>
    </w:rPr>
  </w:style>
  <w:style w:type="character" w:customStyle="1" w:styleId="3">
    <w:name w:val="Основной текст (3)"/>
    <w:basedOn w:val="a0"/>
    <w:qFormat/>
    <w:rsid w:val="009216F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sz w:val="23"/>
      <w:szCs w:val="23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qFormat/>
    <w:rsid w:val="009216F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D96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2348C1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2348C1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2348C1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2348C1"/>
    <w:pPr>
      <w:widowControl w:val="0"/>
    </w:pPr>
    <w:rPr>
      <w:rFonts w:eastAsia="Times New Roman" w:cs="Calibri"/>
      <w:sz w:val="22"/>
      <w:szCs w:val="22"/>
    </w:rPr>
  </w:style>
  <w:style w:type="paragraph" w:styleId="af0">
    <w:name w:val="No Spacing"/>
    <w:uiPriority w:val="1"/>
    <w:qFormat/>
    <w:rsid w:val="00C16A3A"/>
    <w:rPr>
      <w:rFonts w:cs="Calibri"/>
      <w:sz w:val="22"/>
      <w:szCs w:val="22"/>
      <w:lang w:eastAsia="en-US"/>
    </w:rPr>
  </w:style>
  <w:style w:type="paragraph" w:customStyle="1" w:styleId="11">
    <w:name w:val="Знак Знак1 Знак"/>
    <w:basedOn w:val="a"/>
    <w:qFormat/>
    <w:rsid w:val="00D967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сновной текст1"/>
    <w:basedOn w:val="a"/>
    <w:qFormat/>
    <w:rsid w:val="00D967CD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D967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Обычный1"/>
    <w:qFormat/>
    <w:rsid w:val="00D967CD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D967C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af4">
    <w:name w:val="footer"/>
    <w:basedOn w:val="a"/>
    <w:uiPriority w:val="99"/>
    <w:unhideWhenUsed/>
    <w:rsid w:val="00D967C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20">
    <w:name w:val="Основной текст (2)"/>
    <w:basedOn w:val="a"/>
    <w:link w:val="2"/>
    <w:qFormat/>
    <w:rsid w:val="00D967CD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D967CD"/>
    <w:pPr>
      <w:ind w:left="720"/>
      <w:contextualSpacing/>
    </w:pPr>
    <w:rPr>
      <w:rFonts w:cs="Times New Roman"/>
    </w:rPr>
  </w:style>
  <w:style w:type="paragraph" w:customStyle="1" w:styleId="51">
    <w:name w:val="Основной текст5"/>
    <w:basedOn w:val="a"/>
    <w:qFormat/>
    <w:rsid w:val="00D967CD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Знак"/>
    <w:basedOn w:val="a"/>
    <w:qFormat/>
    <w:rsid w:val="00D967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4A3A56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DB9C3BB02BCA1A141DD6A20FB7D6D8C78980C25FF46F10C095D31AD0O52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95549-6D98-4B0B-93C5-361A663E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68</cp:revision>
  <cp:lastPrinted>2022-07-07T05:08:00Z</cp:lastPrinted>
  <dcterms:created xsi:type="dcterms:W3CDTF">2021-09-06T06:32:00Z</dcterms:created>
  <dcterms:modified xsi:type="dcterms:W3CDTF">2022-07-07T05:50:00Z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